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452700051" w:edGrp="everyone"/>
              <w:r w:rsidR="00435AC1">
                <w:rPr>
                  <w:rFonts w:asciiTheme="majorHAnsi" w:hAnsiTheme="majorHAnsi"/>
                  <w:sz w:val="20"/>
                  <w:szCs w:val="20"/>
                </w:rPr>
                <w:t>NHP46 (2014)</w:t>
              </w:r>
              <w:permEnd w:id="145270005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844375730" w:edGrp="everyone"/>
    <w:p w:rsidR="00AF3758" w:rsidRPr="00592A95" w:rsidRDefault="006637C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4CD5">
            <w:rPr>
              <w:rFonts w:ascii="MS Gothic" w:eastAsia="MS Gothic" w:hAnsi="MS Gothic" w:hint="eastAsia"/>
            </w:rPr>
            <w:t>☒</w:t>
          </w:r>
        </w:sdtContent>
      </w:sdt>
      <w:permEnd w:id="84437573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125794254" w:edGrp="everyone"/>
    <w:p w:rsidR="001F5E9E" w:rsidRPr="001F5E9E" w:rsidRDefault="006637C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2579425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63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95453289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5453289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795955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79595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637C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1719171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19171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14103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14103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63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6611724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6117241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57948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57948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63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475150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75150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84778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847782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63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4779711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797117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2092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2092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63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1564051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640511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80050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800505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63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96936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936223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73268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732689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63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817070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170703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43404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434046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63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999584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99584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84231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842317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514768" w:edGrp="everyone" w:displacedByCustomXml="prev"/>
        <w:p w:rsidR="008B4CD5" w:rsidRPr="008B4CD5" w:rsidRDefault="008B4CD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  <w:r w:rsidRPr="008B4CD5">
            <w:rPr>
              <w:rFonts w:cs="Arial"/>
            </w:rPr>
            <w:t>Dr. Susan Hanrahan</w:t>
          </w:r>
        </w:p>
        <w:p w:rsidR="008B4CD5" w:rsidRPr="008B4CD5" w:rsidRDefault="008B4CD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  <w:r w:rsidRPr="008B4CD5">
            <w:rPr>
              <w:rFonts w:cs="Arial"/>
            </w:rPr>
            <w:t xml:space="preserve">PO Box 910 </w:t>
          </w:r>
        </w:p>
        <w:p w:rsidR="008B4CD5" w:rsidRPr="008B4CD5" w:rsidRDefault="008B4CD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  <w:r w:rsidRPr="008B4CD5">
            <w:rPr>
              <w:rFonts w:cs="Arial"/>
            </w:rPr>
            <w:t>State University, AR  72467</w:t>
          </w:r>
        </w:p>
        <w:p w:rsidR="008B4CD5" w:rsidRPr="008B4CD5" w:rsidRDefault="008B4CD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cs="Arial"/>
            </w:rPr>
          </w:pPr>
          <w:r w:rsidRPr="008B4CD5">
            <w:rPr>
              <w:rFonts w:cs="Arial"/>
            </w:rPr>
            <w:t xml:space="preserve">Email:  </w:t>
          </w:r>
          <w:hyperlink r:id="rId9" w:history="1">
            <w:r w:rsidRPr="008B4CD5">
              <w:rPr>
                <w:rStyle w:val="Hyperlink"/>
                <w:rFonts w:cs="Arial"/>
              </w:rPr>
              <w:t>hanrahan@astate.edu</w:t>
            </w:r>
          </w:hyperlink>
        </w:p>
        <w:p w:rsidR="006E6FEC" w:rsidRDefault="008B4CD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4CD5">
            <w:rPr>
              <w:rFonts w:cs="Arial"/>
            </w:rPr>
            <w:t>Tel:  870-972-3112</w:t>
          </w:r>
        </w:p>
        <w:permEnd w:id="5151476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593518171" w:edGrp="everyone" w:displacedByCustomXml="prev"/>
        <w:p w:rsidR="002E3FC9" w:rsidRDefault="008B4CD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4CD5">
            <w:rPr>
              <w:rFonts w:cs="Arial"/>
            </w:rPr>
            <w:t xml:space="preserve">Replace </w:t>
          </w:r>
          <w:r w:rsidRPr="008B4CD5">
            <w:rPr>
              <w:color w:val="000000"/>
            </w:rPr>
            <w:t>HP 4803 Intro to Geriat</w:t>
          </w:r>
          <w:r>
            <w:rPr>
              <w:color w:val="000000"/>
            </w:rPr>
            <w:t>rics with NRS 3353 Aging and the Older Adult</w:t>
          </w:r>
        </w:p>
        <w:permEnd w:id="159351817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8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592129631" w:edGrp="everyone" w:displacedByCustomXml="prev"/>
        <w:p w:rsidR="002E3FC9" w:rsidRDefault="002453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8/1/2014</w:t>
          </w:r>
        </w:p>
        <w:permEnd w:id="592129631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455636946" w:edGrp="everyone" w:displacedByCustomXml="prev"/>
        <w:p w:rsidR="002E3FC9" w:rsidRDefault="000D25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D252F">
            <w:rPr>
              <w:rFonts w:cs="Arial"/>
              <w:szCs w:val="20"/>
            </w:rPr>
            <w:t>Existing course met course requirements in lieu of implementing new course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455636946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487995268" w:edGrp="everyone" w:displacedByCustomXml="prev"/>
        <w:p w:rsidR="007E5949" w:rsidRPr="007E5949" w:rsidRDefault="007E5949">
          <w:pPr>
            <w:pStyle w:val="Pa244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 w:rsidRPr="007E5949">
            <w:rPr>
              <w:rFonts w:cs="Myriad Pro Cond"/>
              <w:b/>
              <w:bCs/>
              <w:color w:val="221E1F"/>
              <w:sz w:val="32"/>
              <w:szCs w:val="32"/>
            </w:rPr>
            <w:t xml:space="preserve">Major in Heath Studies </w:t>
          </w:r>
        </w:p>
        <w:p w:rsidR="007E5949" w:rsidRPr="007E5949" w:rsidRDefault="007E5949" w:rsidP="007E5949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7E5949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Science </w:t>
          </w:r>
        </w:p>
        <w:p w:rsidR="007E5949" w:rsidRPr="007E5949" w:rsidRDefault="007E5949" w:rsidP="007E5949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7E5949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(Professional Track) </w:t>
          </w:r>
        </w:p>
        <w:p w:rsidR="007E5949" w:rsidRPr="007E5949" w:rsidRDefault="007E5949" w:rsidP="007E5949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7E5949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109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08"/>
            <w:gridCol w:w="2700"/>
          </w:tblGrid>
          <w:tr w:rsidR="007E5949" w:rsidRPr="007E5949" w:rsidTr="00003667">
            <w:trPr>
              <w:trHeight w:val="111"/>
            </w:trPr>
            <w:tc>
              <w:tcPr>
                <w:tcW w:w="10908" w:type="dxa"/>
                <w:gridSpan w:val="2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University Requirements: </w:t>
                </w:r>
              </w:p>
            </w:tc>
          </w:tr>
          <w:tr w:rsidR="007E5949" w:rsidRPr="007E5949" w:rsidTr="00003667">
            <w:trPr>
              <w:trHeight w:val="252"/>
            </w:trPr>
            <w:tc>
              <w:tcPr>
                <w:tcW w:w="10908" w:type="dxa"/>
                <w:gridSpan w:val="2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PTA 1013, Making Connections in Physical Therapy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72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See General Education Curriculum for Associate of Applied Science and Baccalaureate degrees (p. 84)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Students with this major must take the following for BS degree: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BIO 2203 </w:t>
                </w:r>
                <w:r w:rsidRPr="000D252F">
                  <w:rPr>
                    <w:rFonts w:ascii="Arial" w:hAnsi="Arial" w:cs="Arial"/>
                    <w:b/>
                    <w:bCs/>
                    <w:i/>
                    <w:iCs/>
                    <w:color w:val="221E1F"/>
                    <w:sz w:val="16"/>
                    <w:szCs w:val="12"/>
                  </w:rPr>
                  <w:t xml:space="preserve">AND </w:t>
                </w: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2201, Human Anatomy and Physiology I and Laboratory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PHYS 2054, General Physics I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PSY 2013, Introduction to Psychology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MATH 1033, Plane Trigonometry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Students with this major must take the following for AAS degree: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CS 1013, Introduction to Computers </w:t>
                </w:r>
                <w:r w:rsidRPr="000D252F">
                  <w:rPr>
                    <w:rFonts w:ascii="Arial" w:hAnsi="Arial" w:cs="Arial"/>
                    <w:b/>
                    <w:bCs/>
                    <w:i/>
                    <w:iCs/>
                    <w:color w:val="221E1F"/>
                    <w:sz w:val="16"/>
                    <w:szCs w:val="12"/>
                  </w:rPr>
                  <w:t xml:space="preserve">OR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4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CIT 1503, Microcomputer Applications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35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Physical Therapist Assistant Program: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PTA AAS Degree Requirements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38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Major Requirements: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CLS 4212, Interpreting Laboratory Data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2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3233, Preventive Health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3353, Public Health: Principles and Practice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3453, Healthcare Navigations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3463, Introduction to Pharmaceuticals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3673, Critical Issues in Health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3783, Issues in Mental Health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4103, Patient Education in Health Care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4213, Chronic Illness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4323, Patient Safety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lastRenderedPageBreak/>
                  <w:t xml:space="preserve">HP 4433, Healthcare Advocacy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4543, Healthcare Service Delivery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  <w:t xml:space="preserve">HP 4803, Introduction to Geriatrics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0D252F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0D252F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FF0000"/>
                    <w:sz w:val="18"/>
                    <w:szCs w:val="12"/>
                  </w:rPr>
                </w:pPr>
                <w:r w:rsidRPr="000D252F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NRS 3353 Aging and the Older Adult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0D252F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FF0000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FF0000"/>
                    <w:sz w:val="16"/>
                    <w:szCs w:val="12"/>
                  </w:rPr>
                  <w:t>3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4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4"/>
                    <w:szCs w:val="12"/>
                  </w:rPr>
                  <w:t xml:space="preserve">PHIL 3713, Ethics in Health Professions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Sub-total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41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2112, Introduction to the United States Healthcare System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2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Electives: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Electives (must include at least 4 upper-level hours)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6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Total Required Hours (Physical Therapist Assistant): </w:t>
                </w:r>
              </w:p>
            </w:tc>
            <w:tc>
              <w:tcPr>
                <w:tcW w:w="270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>125</w:t>
                </w:r>
              </w:p>
            </w:tc>
          </w:tr>
        </w:tbl>
        <w:p w:rsidR="00003667" w:rsidRPr="000D252F" w:rsidRDefault="00003667" w:rsidP="000036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221E1F"/>
              <w:sz w:val="16"/>
              <w:szCs w:val="12"/>
            </w:rPr>
          </w:pPr>
        </w:p>
        <w:p w:rsidR="008B4CD5" w:rsidRPr="000D252F" w:rsidRDefault="00003667" w:rsidP="0000366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Cs w:val="20"/>
            </w:rPr>
          </w:pPr>
          <w:r w:rsidRPr="000D252F">
            <w:rPr>
              <w:rFonts w:ascii="Arial" w:hAnsi="Arial" w:cs="Arial"/>
              <w:color w:val="221E1F"/>
              <w:sz w:val="16"/>
              <w:szCs w:val="12"/>
            </w:rPr>
            <w:t>Page 310</w:t>
          </w:r>
        </w:p>
        <w:p w:rsidR="00003667" w:rsidRPr="000D252F" w:rsidRDefault="00003667" w:rsidP="00003667">
          <w:pPr>
            <w:autoSpaceDE w:val="0"/>
            <w:autoSpaceDN w:val="0"/>
            <w:adjustRightInd w:val="0"/>
            <w:spacing w:after="80" w:line="161" w:lineRule="atLeast"/>
            <w:ind w:left="-180"/>
            <w:jc w:val="center"/>
            <w:rPr>
              <w:rFonts w:ascii="Myriad Pro Cond" w:hAnsi="Myriad Pro Cond" w:cs="Myriad Pro Cond"/>
              <w:b/>
              <w:bCs/>
              <w:color w:val="221E1F"/>
              <w:sz w:val="36"/>
              <w:szCs w:val="32"/>
            </w:rPr>
          </w:pPr>
        </w:p>
        <w:p w:rsidR="007E5949" w:rsidRPr="007E5949" w:rsidRDefault="007E5949" w:rsidP="000D252F">
          <w:pPr>
            <w:autoSpaceDE w:val="0"/>
            <w:autoSpaceDN w:val="0"/>
            <w:adjustRightInd w:val="0"/>
            <w:spacing w:after="80" w:line="161" w:lineRule="atLeast"/>
            <w:ind w:left="-180"/>
            <w:jc w:val="center"/>
            <w:rPr>
              <w:rFonts w:ascii="Myriad Pro Cond" w:hAnsi="Myriad Pro Cond" w:cs="Myriad Pro Cond"/>
              <w:color w:val="221E1F"/>
              <w:sz w:val="36"/>
              <w:szCs w:val="32"/>
            </w:rPr>
          </w:pPr>
          <w:r w:rsidRPr="000D252F">
            <w:rPr>
              <w:rFonts w:ascii="Myriad Pro Cond" w:hAnsi="Myriad Pro Cond" w:cs="Myriad Pro Cond"/>
              <w:b/>
              <w:bCs/>
              <w:color w:val="221E1F"/>
              <w:sz w:val="36"/>
              <w:szCs w:val="32"/>
            </w:rPr>
            <w:t xml:space="preserve">Major in Health Studies </w:t>
          </w:r>
        </w:p>
        <w:p w:rsidR="007E5949" w:rsidRPr="007E5949" w:rsidRDefault="007E5949" w:rsidP="000D252F">
          <w:pPr>
            <w:autoSpaceDE w:val="0"/>
            <w:autoSpaceDN w:val="0"/>
            <w:adjustRightInd w:val="0"/>
            <w:spacing w:after="0" w:line="161" w:lineRule="atLeast"/>
            <w:ind w:left="-180"/>
            <w:jc w:val="center"/>
            <w:rPr>
              <w:rFonts w:ascii="Arial" w:hAnsi="Arial" w:cs="Arial"/>
              <w:color w:val="221E1F"/>
              <w:sz w:val="18"/>
              <w:szCs w:val="16"/>
            </w:rPr>
          </w:pPr>
          <w:r w:rsidRPr="007E5949">
            <w:rPr>
              <w:rFonts w:ascii="Arial" w:hAnsi="Arial" w:cs="Arial"/>
              <w:b/>
              <w:bCs/>
              <w:color w:val="221E1F"/>
              <w:sz w:val="18"/>
              <w:szCs w:val="16"/>
            </w:rPr>
            <w:t xml:space="preserve">Bachelor of Science </w:t>
          </w:r>
        </w:p>
        <w:p w:rsidR="007E5949" w:rsidRPr="007E5949" w:rsidRDefault="007E5949" w:rsidP="000D252F">
          <w:pPr>
            <w:autoSpaceDE w:val="0"/>
            <w:autoSpaceDN w:val="0"/>
            <w:adjustRightInd w:val="0"/>
            <w:spacing w:after="0" w:line="161" w:lineRule="atLeast"/>
            <w:ind w:left="-180"/>
            <w:jc w:val="center"/>
            <w:rPr>
              <w:rFonts w:ascii="Arial" w:hAnsi="Arial" w:cs="Arial"/>
              <w:color w:val="221E1F"/>
              <w:sz w:val="18"/>
              <w:szCs w:val="16"/>
            </w:rPr>
          </w:pPr>
          <w:r w:rsidRPr="007E5949">
            <w:rPr>
              <w:rFonts w:ascii="Arial" w:hAnsi="Arial" w:cs="Arial"/>
              <w:b/>
              <w:bCs/>
              <w:color w:val="221E1F"/>
              <w:sz w:val="18"/>
              <w:szCs w:val="16"/>
            </w:rPr>
            <w:t xml:space="preserve">(Non-Professional Track) </w:t>
          </w:r>
        </w:p>
        <w:p w:rsidR="007E5949" w:rsidRPr="007E5949" w:rsidRDefault="007E5949" w:rsidP="000D252F">
          <w:pPr>
            <w:autoSpaceDE w:val="0"/>
            <w:autoSpaceDN w:val="0"/>
            <w:adjustRightInd w:val="0"/>
            <w:spacing w:after="80" w:line="161" w:lineRule="atLeast"/>
            <w:ind w:left="-180"/>
            <w:jc w:val="center"/>
            <w:rPr>
              <w:rFonts w:ascii="Arial" w:hAnsi="Arial" w:cs="Arial"/>
              <w:color w:val="221E1F"/>
              <w:sz w:val="18"/>
              <w:szCs w:val="16"/>
            </w:rPr>
          </w:pPr>
          <w:r w:rsidRPr="007E5949">
            <w:rPr>
              <w:rFonts w:ascii="Arial" w:hAnsi="Arial" w:cs="Arial"/>
              <w:color w:val="221E1F"/>
              <w:sz w:val="18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08"/>
            <w:gridCol w:w="2790"/>
          </w:tblGrid>
          <w:tr w:rsidR="007E5949" w:rsidRPr="007E5949" w:rsidTr="00003667">
            <w:trPr>
              <w:trHeight w:val="111"/>
            </w:trPr>
            <w:tc>
              <w:tcPr>
                <w:tcW w:w="10998" w:type="dxa"/>
                <w:gridSpan w:val="2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University Requirements: </w:t>
                </w:r>
              </w:p>
            </w:tc>
          </w:tr>
          <w:tr w:rsidR="007E5949" w:rsidRPr="007E5949" w:rsidTr="00003667">
            <w:trPr>
              <w:trHeight w:val="207"/>
            </w:trPr>
            <w:tc>
              <w:tcPr>
                <w:tcW w:w="10998" w:type="dxa"/>
                <w:gridSpan w:val="2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UC 1013, Making Connections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440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See General Education Curriculum for Baccalaureate degrees (p. 84)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Students with this major must take the following: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BIO 2203 AND 2201, Human Anatomy and Physiology I and Laboratory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ECON 2333, Economic Issues and Concepts </w:t>
                </w:r>
              </w:p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4"/>
                    <w:szCs w:val="12"/>
                  </w:rPr>
                </w:pPr>
                <w:r w:rsidRPr="000D252F">
                  <w:rPr>
                    <w:rFonts w:ascii="Arial" w:hAnsi="Arial" w:cs="Arial"/>
                    <w:i/>
                    <w:iCs/>
                    <w:color w:val="221E1F"/>
                    <w:sz w:val="16"/>
                    <w:szCs w:val="12"/>
                  </w:rPr>
                  <w:t xml:space="preserve">PSY 2013, Introduction to Psychology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35 </w:t>
                </w:r>
              </w:p>
            </w:tc>
          </w:tr>
          <w:tr w:rsidR="007E5949" w:rsidRPr="007E5949" w:rsidTr="00003667">
            <w:trPr>
              <w:trHeight w:val="252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1569B0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Major Requirements: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CLS 4212, Interpreting Laboratory Data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2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3123, Introduction to Disease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3233, Preventive Health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3353, Public Health: Principles and Practice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3413, Cultural Competence In The Health Professions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3453, Healthcare Navigations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3463, Introduction to Pharmaceuticals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3673, Critical Issues in Health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3783, Issues in Mental Health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4103, Patient Education in Health Care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4213, Chronic Illness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4323, Patient Safety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4433, Healthcare Advocacy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4543, Healthcare Service Delivery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  <w:t xml:space="preserve">HP 4803, Introduction to Geriatrics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strike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1569B0" w:rsidRPr="000D252F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1569B0" w:rsidRPr="000D252F" w:rsidRDefault="001569B0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FF0000"/>
                    <w:sz w:val="18"/>
                    <w:szCs w:val="12"/>
                  </w:rPr>
                </w:pPr>
                <w:r w:rsidRPr="000D252F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NRS 3353 Aging and the Older Adult</w:t>
                </w:r>
              </w:p>
            </w:tc>
            <w:tc>
              <w:tcPr>
                <w:tcW w:w="2790" w:type="dxa"/>
                <w:vAlign w:val="center"/>
              </w:tcPr>
              <w:p w:rsidR="001569B0" w:rsidRPr="000D252F" w:rsidRDefault="001569B0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FF0000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3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PHIL 3713, Ethics in Health Professions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Sub-total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47 </w:t>
                </w:r>
              </w:p>
            </w:tc>
          </w:tr>
          <w:tr w:rsidR="007E5949" w:rsidRPr="007E5949" w:rsidTr="00003667">
            <w:trPr>
              <w:trHeight w:val="33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DPEM 2223, Healthcare Emergency Management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HLTH 2513, Principles of Personal Health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2013, Medical Terminology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HP 2112, Introduction to the United States Healthcare System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2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lastRenderedPageBreak/>
                  <w:t xml:space="preserve">NRS 2203, Basic Human Nutrition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79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SOC 2223, Social Problems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3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Sub-total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17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Electives: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Sem. Hrs. </w:t>
                </w:r>
              </w:p>
            </w:tc>
          </w:tr>
          <w:tr w:rsidR="007E5949" w:rsidRPr="007E5949" w:rsidTr="00003667">
            <w:trPr>
              <w:trHeight w:val="83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color w:val="221E1F"/>
                    <w:sz w:val="16"/>
                    <w:szCs w:val="12"/>
                  </w:rPr>
                  <w:t xml:space="preserve">Electives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2"/>
                  </w:rPr>
                </w:pPr>
                <w:r w:rsidRPr="000D252F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2"/>
                  </w:rPr>
                  <w:t xml:space="preserve">18 </w:t>
                </w:r>
              </w:p>
            </w:tc>
          </w:tr>
          <w:tr w:rsidR="007E5949" w:rsidRPr="007E5949" w:rsidTr="00003667">
            <w:trPr>
              <w:trHeight w:val="111"/>
            </w:trPr>
            <w:tc>
              <w:tcPr>
                <w:tcW w:w="8208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8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8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790" w:type="dxa"/>
                <w:vAlign w:val="center"/>
              </w:tcPr>
              <w:p w:rsidR="007E5949" w:rsidRPr="007E5949" w:rsidRDefault="007E5949" w:rsidP="007E5949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7E5949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120</w:t>
                </w:r>
              </w:p>
            </w:tc>
          </w:tr>
        </w:tbl>
        <w:p w:rsidR="00003667" w:rsidRPr="000D252F" w:rsidRDefault="00003667" w:rsidP="000036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221E1F"/>
              <w:sz w:val="16"/>
              <w:szCs w:val="12"/>
            </w:rPr>
          </w:pPr>
        </w:p>
        <w:p w:rsidR="00003667" w:rsidRPr="000D252F" w:rsidRDefault="00003667" w:rsidP="00003667">
          <w:pPr>
            <w:tabs>
              <w:tab w:val="left" w:pos="360"/>
              <w:tab w:val="left" w:pos="720"/>
              <w:tab w:val="left" w:pos="10800"/>
            </w:tabs>
            <w:spacing w:after="0" w:line="240" w:lineRule="auto"/>
            <w:ind w:right="-90"/>
            <w:jc w:val="center"/>
            <w:rPr>
              <w:rFonts w:asciiTheme="majorHAnsi" w:hAnsiTheme="majorHAnsi" w:cs="Arial"/>
              <w:szCs w:val="20"/>
            </w:rPr>
          </w:pPr>
          <w:r w:rsidRPr="000D252F">
            <w:rPr>
              <w:rFonts w:ascii="Arial" w:hAnsi="Arial" w:cs="Arial"/>
              <w:color w:val="221E1F"/>
              <w:sz w:val="16"/>
              <w:szCs w:val="12"/>
            </w:rPr>
            <w:t>Page 311</w:t>
          </w:r>
        </w:p>
        <w:p w:rsidR="00003667" w:rsidRPr="000D252F" w:rsidRDefault="00003667" w:rsidP="00003667">
          <w:pPr>
            <w:tabs>
              <w:tab w:val="left" w:pos="10800"/>
            </w:tabs>
            <w:autoSpaceDE w:val="0"/>
            <w:autoSpaceDN w:val="0"/>
            <w:adjustRightInd w:val="0"/>
            <w:spacing w:after="80" w:line="161" w:lineRule="atLeast"/>
            <w:ind w:left="-180" w:right="-90"/>
            <w:jc w:val="center"/>
            <w:rPr>
              <w:rFonts w:ascii="Myriad Pro Cond" w:hAnsi="Myriad Pro Cond" w:cs="Myriad Pro Cond"/>
              <w:b/>
              <w:bCs/>
              <w:color w:val="221E1F"/>
              <w:sz w:val="36"/>
              <w:szCs w:val="32"/>
            </w:rPr>
          </w:pPr>
        </w:p>
        <w:p w:rsidR="00245376" w:rsidRDefault="00245376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b/>
              <w:bCs/>
              <w:color w:val="221E1F"/>
              <w:sz w:val="16"/>
              <w:szCs w:val="16"/>
            </w:rPr>
          </w:pP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3233.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Preventive Health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Teaching and “coaching” patients toward managing, mitigating, and/or preventing health dysfunctions encountered by citizens of the Delta region. Examines the impact health promotion and preventive practices have on the quality of life across the life span. Fall.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3353.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Public Health: Principles and Practice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Overview of the unique features of public health in the rapidly changing US and global health care delivery system from a population, global health perspective. Fall.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3413.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Cultural Competence in the Health Professions </w:t>
          </w:r>
          <w:proofErr w:type="spell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Self assessment</w:t>
          </w:r>
          <w:proofErr w:type="spell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of awareness, knowledge, sensitivity and acceptance of the importance of cultural issues in a culturally diverse health care environment, definition and components of culture, cultural values, cultural competence, health and healing traditions, transcultural communication, fostering cultural competence in col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softHyphen/>
            <w:t xml:space="preserve">leagues. Fall,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3453.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Healthcare Navigation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>The patient navigation model includes the timely move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softHyphen/>
            <w:t xml:space="preserve">ment of an individual across the entire health care continuum from prevention, detection, diagnosis, treatment, and supportive, to end-of-life care.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3463.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Introduction to Pharmaceuticals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>An introduction to pharmaceuticals in modern heath care.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Issues related to regulation, drug development, drug safety (including age related is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softHyphen/>
            <w:t xml:space="preserve">sues, polypharmacy, and abuse) and quality control are included.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3673.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Critical Issues in Health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Examination of critical health and health care issues from clinical, legislative, and community perspectives.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3783.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Issues in Mental Health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Examination of a variety of mental health conditions and behaviors, including many of the help-seeking behaviors seen currently in health care settings, including major public health threats to our society will be discussed.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4103.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</w:t>
          </w: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Patient Education in Healthcare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>Teaching strategies and methodologies that compare and contrast teacher-centered versus patient-centered approaches within the context of healthcare.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4133.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Performance Enhancement and Metabolism for Sport and Exercise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Provides learners with a basic and applied scientific knowledge base that can be used to enhance human performance, to protect the health and safety of active individuals, and to be a critical consumer. Special course fees may apply.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4213.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Chronic Illness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An introduction to the scope and nature of living with chronic disease or illness with a focus on identifying chronic illnesses that affect not only the individual, but families and communities. Fall.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4323.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Patient Safety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An introduction to the scope and nature of most adverse events related to patient safety, with a focus and focuses on identification and prevention of patient safety issues. Fall.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4433.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Healthcare Advocacy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Introduction to the role of the healthcare advocate, with a focus Focuses on information that assists patients and families in the increasing complex and dynamic health care system. Fall. </w:t>
          </w:r>
        </w:p>
        <w:p w:rsidR="001569B0" w:rsidRPr="001569B0" w:rsidRDefault="001569B0" w:rsidP="001569B0">
          <w:pPr>
            <w:autoSpaceDE w:val="0"/>
            <w:autoSpaceDN w:val="0"/>
            <w:adjustRightInd w:val="0"/>
            <w:spacing w:after="120" w:line="241" w:lineRule="atLeast"/>
            <w:ind w:left="360" w:hanging="3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>HP 4543.</w:t>
          </w:r>
          <w:proofErr w:type="gramEnd"/>
          <w:r w:rsidRPr="001569B0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 Healthcare Service Delivery 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t>A global focus on value-based healthcare de</w:t>
          </w:r>
          <w:r w:rsidRPr="001569B0">
            <w:rPr>
              <w:rFonts w:ascii="Arial" w:hAnsi="Arial" w:cs="Arial"/>
              <w:color w:val="221E1F"/>
              <w:sz w:val="16"/>
              <w:szCs w:val="16"/>
            </w:rPr>
            <w:softHyphen/>
            <w:t xml:space="preserve">livery and the World Health Organization. Approaches to principles related to health care delivery in practice that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are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effective, safe, and quality based. </w:t>
          </w:r>
          <w:proofErr w:type="gramStart"/>
          <w:r w:rsidRPr="001569B0">
            <w:rPr>
              <w:rFonts w:ascii="Arial" w:hAnsi="Arial" w:cs="Arial"/>
              <w:color w:val="221E1F"/>
              <w:sz w:val="16"/>
              <w:szCs w:val="16"/>
            </w:rPr>
            <w:t>Spring.</w:t>
          </w:r>
          <w:proofErr w:type="gramEnd"/>
          <w:r w:rsidRPr="001569B0">
            <w:rPr>
              <w:rFonts w:ascii="Arial" w:hAnsi="Arial" w:cs="Arial"/>
              <w:color w:val="221E1F"/>
              <w:sz w:val="16"/>
              <w:szCs w:val="16"/>
            </w:rPr>
            <w:t xml:space="preserve"> </w:t>
          </w:r>
        </w:p>
        <w:p w:rsidR="00245376" w:rsidRDefault="001569B0" w:rsidP="001569B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trike/>
              <w:color w:val="221E1F"/>
              <w:sz w:val="16"/>
              <w:szCs w:val="16"/>
            </w:rPr>
          </w:pPr>
          <w:proofErr w:type="gramStart"/>
          <w:r w:rsidRPr="001569B0">
            <w:rPr>
              <w:rFonts w:ascii="Arial" w:hAnsi="Arial" w:cs="Arial"/>
              <w:b/>
              <w:bCs/>
              <w:strike/>
              <w:color w:val="221E1F"/>
              <w:sz w:val="16"/>
              <w:szCs w:val="16"/>
            </w:rPr>
            <w:t>HP 4803.</w:t>
          </w:r>
          <w:proofErr w:type="gramEnd"/>
          <w:r w:rsidRPr="001569B0">
            <w:rPr>
              <w:rFonts w:ascii="Arial" w:hAnsi="Arial" w:cs="Arial"/>
              <w:b/>
              <w:bCs/>
              <w:strike/>
              <w:color w:val="221E1F"/>
              <w:sz w:val="16"/>
              <w:szCs w:val="16"/>
            </w:rPr>
            <w:t xml:space="preserve"> Introduction to Geriatrics </w:t>
          </w:r>
          <w:proofErr w:type="gramStart"/>
          <w:r w:rsidRPr="001569B0">
            <w:rPr>
              <w:rFonts w:ascii="Arial" w:hAnsi="Arial" w:cs="Arial"/>
              <w:strike/>
              <w:color w:val="221E1F"/>
              <w:sz w:val="16"/>
              <w:szCs w:val="16"/>
            </w:rPr>
            <w:t>Provides</w:t>
          </w:r>
          <w:proofErr w:type="gramEnd"/>
          <w:r w:rsidRPr="001569B0">
            <w:rPr>
              <w:rFonts w:ascii="Arial" w:hAnsi="Arial" w:cs="Arial"/>
              <w:strike/>
              <w:color w:val="221E1F"/>
              <w:sz w:val="16"/>
              <w:szCs w:val="16"/>
            </w:rPr>
            <w:t xml:space="preserve"> the learner with an introduction of geriatrics through a multidisciplinary approach. Topics explored will encompass how people age physically and how this aging affects other dimensions of life. Special course fees may apply. </w:t>
          </w:r>
          <w:proofErr w:type="gramStart"/>
          <w:r w:rsidRPr="001569B0">
            <w:rPr>
              <w:rFonts w:ascii="Arial" w:hAnsi="Arial" w:cs="Arial"/>
              <w:strike/>
              <w:color w:val="221E1F"/>
              <w:sz w:val="16"/>
              <w:szCs w:val="16"/>
            </w:rPr>
            <w:t>Prerequisites, minimum of 60 hours.</w:t>
          </w:r>
          <w:proofErr w:type="gramEnd"/>
          <w:r w:rsidRPr="001569B0">
            <w:rPr>
              <w:rFonts w:ascii="Arial" w:hAnsi="Arial" w:cs="Arial"/>
              <w:strike/>
              <w:color w:val="221E1F"/>
              <w:sz w:val="16"/>
              <w:szCs w:val="16"/>
            </w:rPr>
            <w:t xml:space="preserve"> Summer.504</w:t>
          </w:r>
        </w:p>
        <w:p w:rsidR="001569B0" w:rsidRPr="001569B0" w:rsidRDefault="001569B0" w:rsidP="001569B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Cs w:val="20"/>
            </w:rPr>
          </w:pPr>
          <w:r w:rsidRPr="001569B0">
            <w:rPr>
              <w:rFonts w:ascii="Arial" w:hAnsi="Arial" w:cs="Arial"/>
              <w:color w:val="FF0000"/>
              <w:sz w:val="18"/>
              <w:szCs w:val="16"/>
            </w:rPr>
            <w:t xml:space="preserve">NRS 3353 Aging and </w:t>
          </w:r>
          <w:proofErr w:type="spellStart"/>
          <w:r w:rsidRPr="001569B0">
            <w:rPr>
              <w:rFonts w:ascii="Arial" w:hAnsi="Arial" w:cs="Arial"/>
              <w:color w:val="FF0000"/>
              <w:sz w:val="18"/>
              <w:szCs w:val="16"/>
            </w:rPr>
            <w:t>theOlder</w:t>
          </w:r>
          <w:proofErr w:type="spellEnd"/>
          <w:r w:rsidRPr="001569B0">
            <w:rPr>
              <w:rFonts w:ascii="Arial" w:hAnsi="Arial" w:cs="Arial"/>
              <w:color w:val="FF0000"/>
              <w:sz w:val="18"/>
              <w:szCs w:val="16"/>
            </w:rPr>
            <w:t xml:space="preserve"> Adult Analysis of the aging process, including theories of aging, ethical issues, </w:t>
          </w:r>
          <w:proofErr w:type="spellStart"/>
          <w:r w:rsidRPr="001569B0">
            <w:rPr>
              <w:rFonts w:ascii="Arial" w:hAnsi="Arial" w:cs="Arial"/>
              <w:color w:val="FF0000"/>
              <w:sz w:val="18"/>
              <w:szCs w:val="16"/>
            </w:rPr>
            <w:t>biopsychosocial</w:t>
          </w:r>
          <w:proofErr w:type="spellEnd"/>
          <w:r w:rsidRPr="001569B0">
            <w:rPr>
              <w:rFonts w:ascii="Arial" w:hAnsi="Arial" w:cs="Arial"/>
              <w:color w:val="FF0000"/>
              <w:sz w:val="18"/>
              <w:szCs w:val="16"/>
            </w:rPr>
            <w:t xml:space="preserve"> aging changes, impact of changing needs on support systems.  </w:t>
          </w:r>
          <w:proofErr w:type="gramStart"/>
          <w:r w:rsidRPr="001569B0">
            <w:rPr>
              <w:rFonts w:ascii="Arial" w:hAnsi="Arial" w:cs="Arial"/>
              <w:color w:val="FF0000"/>
              <w:sz w:val="18"/>
              <w:szCs w:val="16"/>
            </w:rPr>
            <w:t>Designed for Nursing, Health Care, and Health Promotions majors.</w:t>
          </w:r>
          <w:proofErr w:type="gramEnd"/>
          <w:r w:rsidRPr="001569B0">
            <w:rPr>
              <w:rFonts w:ascii="Arial" w:hAnsi="Arial" w:cs="Arial"/>
              <w:color w:val="FF0000"/>
              <w:sz w:val="18"/>
              <w:szCs w:val="16"/>
            </w:rPr>
            <w:t xml:space="preserve"> Other majors allowed by consent of instructor. </w:t>
          </w:r>
          <w:proofErr w:type="gramStart"/>
          <w:r w:rsidRPr="001569B0">
            <w:rPr>
              <w:rFonts w:ascii="Arial" w:hAnsi="Arial" w:cs="Arial"/>
              <w:color w:val="FF0000"/>
              <w:sz w:val="18"/>
              <w:szCs w:val="16"/>
            </w:rPr>
            <w:t>Prerequisites, PSY 2013.</w:t>
          </w:r>
          <w:proofErr w:type="gramEnd"/>
          <w:r w:rsidRPr="001569B0">
            <w:rPr>
              <w:rFonts w:ascii="Arial" w:hAnsi="Arial" w:cs="Arial"/>
              <w:color w:val="FF0000"/>
              <w:sz w:val="18"/>
              <w:szCs w:val="16"/>
            </w:rPr>
            <w:t xml:space="preserve"> Fall, </w:t>
          </w:r>
          <w:proofErr w:type="gramStart"/>
          <w:r w:rsidRPr="001569B0">
            <w:rPr>
              <w:rFonts w:ascii="Arial" w:hAnsi="Arial" w:cs="Arial"/>
              <w:color w:val="FF0000"/>
              <w:sz w:val="18"/>
              <w:szCs w:val="16"/>
            </w:rPr>
            <w:t>Spring</w:t>
          </w:r>
          <w:proofErr w:type="gramEnd"/>
          <w:r w:rsidRPr="001569B0">
            <w:rPr>
              <w:rFonts w:ascii="Arial" w:hAnsi="Arial" w:cs="Arial"/>
              <w:color w:val="FF0000"/>
              <w:sz w:val="18"/>
              <w:szCs w:val="16"/>
            </w:rPr>
            <w:t>, Summer.</w:t>
          </w:r>
        </w:p>
        <w:p w:rsidR="00245376" w:rsidRPr="001569B0" w:rsidRDefault="00245376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</w:p>
        <w:p w:rsidR="001569B0" w:rsidRPr="00003667" w:rsidRDefault="000D252F" w:rsidP="00003667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color w:val="221E1F"/>
              <w:sz w:val="16"/>
              <w:szCs w:val="16"/>
            </w:rPr>
            <w:t xml:space="preserve">Page </w:t>
          </w:r>
          <w:r w:rsidR="00003667" w:rsidRPr="00003667">
            <w:rPr>
              <w:color w:val="221E1F"/>
              <w:sz w:val="16"/>
              <w:szCs w:val="16"/>
            </w:rPr>
            <w:t>503</w:t>
          </w:r>
        </w:p>
        <w:p w:rsidR="004E5007" w:rsidRDefault="006637C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487995268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7E" w:rsidRDefault="00DD147E" w:rsidP="00AF3758">
      <w:pPr>
        <w:spacing w:after="0" w:line="240" w:lineRule="auto"/>
      </w:pPr>
      <w:r>
        <w:separator/>
      </w:r>
    </w:p>
  </w:endnote>
  <w:endnote w:type="continuationSeparator" w:id="0">
    <w:p w:rsidR="00DD147E" w:rsidRDefault="00DD147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7E" w:rsidRDefault="00DD147E" w:rsidP="00AF3758">
      <w:pPr>
        <w:spacing w:after="0" w:line="240" w:lineRule="auto"/>
      </w:pPr>
      <w:r>
        <w:separator/>
      </w:r>
    </w:p>
  </w:footnote>
  <w:footnote w:type="continuationSeparator" w:id="0">
    <w:p w:rsidR="00DD147E" w:rsidRDefault="00DD147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3667"/>
    <w:rsid w:val="00016FE7"/>
    <w:rsid w:val="000232AB"/>
    <w:rsid w:val="00024BA5"/>
    <w:rsid w:val="000627BE"/>
    <w:rsid w:val="000A7C2E"/>
    <w:rsid w:val="000D06F1"/>
    <w:rsid w:val="000D252F"/>
    <w:rsid w:val="00103070"/>
    <w:rsid w:val="0014025C"/>
    <w:rsid w:val="00151451"/>
    <w:rsid w:val="00152424"/>
    <w:rsid w:val="001569B0"/>
    <w:rsid w:val="0018269B"/>
    <w:rsid w:val="00185D67"/>
    <w:rsid w:val="0019045B"/>
    <w:rsid w:val="001A5DD5"/>
    <w:rsid w:val="001F5E9E"/>
    <w:rsid w:val="00212A76"/>
    <w:rsid w:val="0022350B"/>
    <w:rsid w:val="002315B0"/>
    <w:rsid w:val="00245376"/>
    <w:rsid w:val="00254447"/>
    <w:rsid w:val="00261ACE"/>
    <w:rsid w:val="00265C17"/>
    <w:rsid w:val="002776C2"/>
    <w:rsid w:val="002E3FC9"/>
    <w:rsid w:val="003328F3"/>
    <w:rsid w:val="00346F5C"/>
    <w:rsid w:val="00357F9C"/>
    <w:rsid w:val="00362414"/>
    <w:rsid w:val="00374D72"/>
    <w:rsid w:val="00384538"/>
    <w:rsid w:val="0039532B"/>
    <w:rsid w:val="003A05F4"/>
    <w:rsid w:val="003C0ED1"/>
    <w:rsid w:val="00400712"/>
    <w:rsid w:val="004072F1"/>
    <w:rsid w:val="00435AC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4228"/>
    <w:rsid w:val="006E6117"/>
    <w:rsid w:val="006E6FEC"/>
    <w:rsid w:val="00712045"/>
    <w:rsid w:val="0073025F"/>
    <w:rsid w:val="0073125A"/>
    <w:rsid w:val="00750AF6"/>
    <w:rsid w:val="007A06B9"/>
    <w:rsid w:val="007E5949"/>
    <w:rsid w:val="0083170D"/>
    <w:rsid w:val="008A795D"/>
    <w:rsid w:val="008B4CD5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147E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7E5949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7E5949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0">
    <w:name w:val="Pa230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7E5949"/>
    <w:rPr>
      <w:rFonts w:ascii="Arial" w:hAnsi="Arial" w:cs="Arial"/>
      <w:b/>
      <w:bCs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8">
    <w:name w:val="Pa248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09">
    <w:name w:val="Pa409"/>
    <w:basedOn w:val="Normal"/>
    <w:next w:val="Normal"/>
    <w:uiPriority w:val="99"/>
    <w:rsid w:val="001569B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7E5949"/>
    <w:rPr>
      <w:rFonts w:cs="Myriad Pro Cond"/>
      <w:b/>
      <w:bCs/>
      <w:color w:val="221E1F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7E5949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0">
    <w:name w:val="Pa230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7E5949"/>
    <w:rPr>
      <w:rFonts w:ascii="Arial" w:hAnsi="Arial" w:cs="Arial"/>
      <w:b/>
      <w:bCs/>
      <w:color w:val="221E1F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7E594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8">
    <w:name w:val="Pa248"/>
    <w:basedOn w:val="Normal"/>
    <w:next w:val="Normal"/>
    <w:uiPriority w:val="99"/>
    <w:rsid w:val="007E594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09">
    <w:name w:val="Pa409"/>
    <w:basedOn w:val="Normal"/>
    <w:next w:val="Normal"/>
    <w:uiPriority w:val="99"/>
    <w:rsid w:val="001569B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anrahan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2298E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8527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2014-11-03T20:48:00Z</cp:lastPrinted>
  <dcterms:created xsi:type="dcterms:W3CDTF">2014-11-10T20:32:00Z</dcterms:created>
  <dcterms:modified xsi:type="dcterms:W3CDTF">2014-11-10T20:32:00Z</dcterms:modified>
</cp:coreProperties>
</file>